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114C47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</w:t>
      </w:r>
      <w:r w:rsidRPr="00C33BA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униципального </w:t>
      </w:r>
      <w:r w:rsidR="00076D04" w:rsidRPr="00C33BA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жилищного </w:t>
      </w:r>
      <w:r w:rsidRPr="00C33BA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</w:t>
      </w:r>
      <w:r w:rsidR="00931342" w:rsidRPr="00C33BA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F64C32" w:rsidRPr="00C33BA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территории</w:t>
      </w:r>
      <w:r w:rsidR="004114AE" w:rsidRPr="00C33BA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C33BA8" w:rsidRPr="00C33BA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Сещинского сельского </w:t>
      </w:r>
      <w:r w:rsidR="00C33BA8" w:rsidRPr="00C33BA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поселения</w:t>
      </w:r>
      <w:r w:rsidR="00C33B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C33BA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Дубровского</w:t>
      </w:r>
      <w:r w:rsidR="00F64C3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="004114AE" w:rsidRPr="004114A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района Брянской области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</w:t>
      </w:r>
      <w:r w:rsidRPr="00997F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2</w:t>
      </w:r>
      <w:r w:rsidR="00C407E7" w:rsidRPr="00997F0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Hlk84593958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</w:t>
      </w:r>
      <w:r w:rsid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жилищного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93134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F64C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территории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C33B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Сещинского сельского поселения </w:t>
      </w:r>
      <w:r w:rsidR="00F64C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Дубровского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C407E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bookmarkEnd w:id="0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жилищного</w:t>
      </w:r>
      <w:r w:rsidR="00076D04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F64C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C33B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Сещинского сельского поселения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жилищный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F64C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C33B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Сещинского сельского поселения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</w:t>
      </w:r>
      <w:r w:rsidR="00076D04" w:rsidRP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жилищный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 w:rsidR="00C33B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Сещинской сельской администрацией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076D04" w:rsidRPr="00076D04" w:rsidRDefault="00076D04" w:rsidP="00076D0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жилищный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 – деятельность, направленная на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организацию и проведение на территории </w:t>
      </w:r>
      <w:r w:rsidR="00C33B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Сещинского сельского поселения </w:t>
      </w:r>
      <w:r w:rsidRPr="00886EC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проверок соблюдения подконтрольными субъектами обязательных требований, установленных в отношении муниципального жилищного фонда федеральными законами Российской Федерации, нормативными правовыми актами Брянской области, а 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муниципальными нормативными правовыми актами.</w:t>
      </w:r>
    </w:p>
    <w:p w:rsidR="00076D04" w:rsidRPr="00076D04" w:rsidRDefault="00591F30" w:rsidP="00076D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51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        </w:t>
      </w:r>
      <w:r w:rsidR="00076D04" w:rsidRPr="00327F33">
        <w:rPr>
          <w:rFonts w:ascii="Times New Roman" w:hAnsi="Times New Roman" w:cs="Times New Roman"/>
          <w:color w:val="000000"/>
          <w:sz w:val="24"/>
          <w:szCs w:val="24"/>
        </w:rPr>
        <w:t>Объектами муниципального жилищного контроля являются:</w:t>
      </w:r>
    </w:p>
    <w:p w:rsidR="00076D04" w:rsidRPr="00076D04" w:rsidRDefault="00076D04" w:rsidP="00076D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D04">
        <w:rPr>
          <w:rFonts w:ascii="Times New Roman" w:hAnsi="Times New Roman" w:cs="Times New Roman"/>
          <w:color w:val="000000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11 п. 1.2 Положения</w:t>
      </w:r>
      <w:r w:rsidR="00165252">
        <w:rPr>
          <w:rFonts w:ascii="Times New Roman" w:hAnsi="Times New Roman" w:cs="Times New Roman"/>
          <w:color w:val="000000"/>
          <w:sz w:val="24"/>
          <w:szCs w:val="24"/>
        </w:rPr>
        <w:t xml:space="preserve"> о муниципальном жилищном контроле на территории </w:t>
      </w:r>
      <w:r w:rsidR="00C33BA8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Сещинского сельского поселения </w:t>
      </w:r>
      <w:r w:rsidR="00165252" w:rsidRPr="00886EC9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 w:rsidR="0016525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65252" w:rsidRPr="00076D04" w:rsidRDefault="00076D04" w:rsidP="001652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D04">
        <w:rPr>
          <w:rFonts w:ascii="Times New Roman" w:hAnsi="Times New Roman" w:cs="Times New Roman"/>
          <w:color w:val="000000"/>
          <w:sz w:val="24"/>
          <w:szCs w:val="24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п. 1.2 </w:t>
      </w:r>
      <w:r w:rsidR="00165252" w:rsidRPr="00076D04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="00165252">
        <w:rPr>
          <w:rFonts w:ascii="Times New Roman" w:hAnsi="Times New Roman" w:cs="Times New Roman"/>
          <w:color w:val="000000"/>
          <w:sz w:val="24"/>
          <w:szCs w:val="24"/>
        </w:rPr>
        <w:t xml:space="preserve"> о муниципальном жилищном контроле на территории </w:t>
      </w:r>
      <w:r w:rsidR="00C33BA8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Сещинского сельского поселения </w:t>
      </w:r>
      <w:r w:rsidR="00165252" w:rsidRPr="00886EC9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 w:rsidR="0016525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65252" w:rsidRPr="00076D04" w:rsidRDefault="00076D04" w:rsidP="0016525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6D04">
        <w:rPr>
          <w:rFonts w:ascii="Times New Roman" w:hAnsi="Times New Roman" w:cs="Times New Roman"/>
          <w:color w:val="000000"/>
          <w:sz w:val="24"/>
          <w:szCs w:val="24"/>
        </w:rPr>
        <w:t>3) жилые помещения муниципального жилищного фонда, общее имущество в многоквартирных домах,</w:t>
      </w:r>
      <w:r w:rsidRPr="00076D04">
        <w:rPr>
          <w:color w:val="000000"/>
          <w:sz w:val="24"/>
          <w:szCs w:val="24"/>
        </w:rPr>
        <w:t xml:space="preserve"> </w:t>
      </w:r>
      <w:r w:rsidRPr="00076D04">
        <w:rPr>
          <w:rFonts w:ascii="Times New Roman" w:hAnsi="Times New Roman" w:cs="Times New Roman"/>
          <w:color w:val="000000"/>
          <w:sz w:val="24"/>
          <w:szCs w:val="24"/>
        </w:rPr>
        <w:t>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076D04">
        <w:rPr>
          <w:sz w:val="24"/>
          <w:szCs w:val="24"/>
        </w:rPr>
        <w:t xml:space="preserve"> </w:t>
      </w:r>
      <w:r w:rsidRPr="00076D04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 подпунктах 1 – 11 п. 1.2 </w:t>
      </w:r>
      <w:r w:rsidR="00165252" w:rsidRPr="00076D04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="00165252">
        <w:rPr>
          <w:rFonts w:ascii="Times New Roman" w:hAnsi="Times New Roman" w:cs="Times New Roman"/>
          <w:color w:val="000000"/>
          <w:sz w:val="24"/>
          <w:szCs w:val="24"/>
        </w:rPr>
        <w:t xml:space="preserve"> о муниципальном жилищном контроле на территории </w:t>
      </w:r>
      <w:r w:rsidR="00C33BA8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Сещинского сельского поселения </w:t>
      </w:r>
      <w:r w:rsidR="00165252" w:rsidRPr="00886EC9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 w:rsidR="00165252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0D582D" w:rsidRPr="00FE35A8" w:rsidRDefault="005523B4" w:rsidP="00165252">
      <w:pPr>
        <w:pStyle w:val="ConsPlusNormal"/>
        <w:ind w:firstLine="709"/>
        <w:jc w:val="both"/>
        <w:rPr>
          <w:rFonts w:ascii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Главной задачей контролирующего</w:t>
      </w:r>
      <w:r w:rsidR="000D582D" w:rsidRPr="00FE35A8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</w:t>
      </w:r>
      <w:r w:rsidR="00076D04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жилищного</w:t>
      </w:r>
      <w:r w:rsidR="000D582D" w:rsidRPr="00FE35A8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контроля является переориентация контр</w:t>
      </w:r>
      <w:r w:rsidR="003B2FC8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="000D582D" w:rsidRPr="00FE35A8">
        <w:rPr>
          <w:rFonts w:ascii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:rsidR="00066303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контроля, устранения причин,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факторов и условий, способствующих указ</w:t>
      </w:r>
      <w:r w:rsidR="005523B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 мероприятия по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профилактике таких нарушений в соответствии с программой по профилактике нарушений в 2022 году.</w:t>
      </w:r>
    </w:p>
    <w:p w:rsidR="00A121D5" w:rsidRPr="00FE35A8" w:rsidRDefault="00591F30" w:rsidP="00FE35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видам контроля, в том числе перечня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требований,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памяток, разъяснений, полезной информации, действующих нормативных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правовых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актов</w:t>
      </w:r>
      <w:r w:rsidR="00A121D5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направлениям видов контроля.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</w:t>
      </w:r>
      <w:r w:rsid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жилищный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</w:t>
      </w:r>
      <w:r w:rsidR="003C0512" w:rsidRPr="003C051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подконтрольными </w:t>
      </w:r>
      <w:r w:rsidR="004950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2F45AE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тельных требований</w:t>
      </w:r>
      <w:r w:rsidR="005523B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ж</w:t>
      </w:r>
      <w:r w:rsidR="00076D0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илищного</w:t>
      </w:r>
      <w:r w:rsidR="006F131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законодательства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A2E4A" w:rsidRDefault="001A2E4A" w:rsidP="001A2E4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на территории </w:t>
      </w:r>
      <w:r w:rsidR="00C33B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Сещинского сельского поселения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Дубровского муниципального района Брянской области Программы профилактики рисков причинения вреда (ущерба) охраняемым законом ценностям при осуществлении муниципального жилищного контроля на 2023 год будет способствовать повышению ответственности </w:t>
      </w:r>
      <w:r w:rsidR="008A24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части исполнения подконтрольными субъектами обязательных требований действующего законодательства Российской Федерации в указанной сфере. Работа контролирующего органа будет ориентирована на проведение профилактических мероприятий. </w:t>
      </w:r>
      <w:r w:rsidR="00C33B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Сещинская сельская администрация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 год не разрабатывала и не</w:t>
      </w:r>
      <w:r w:rsidR="008A24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утверждала плановые контрольно-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надзорные мероприятия в связи с тем, что категории риска объектам контроля не присваивались.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D50A0C" w:rsidRDefault="00D50A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</w:t>
      </w:r>
      <w:r w:rsidR="008A24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ретных подконтрольных субъектов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="00D50A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2023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F90BB6" w:rsidRDefault="00514A9D" w:rsidP="00FE35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E4250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</w:t>
      </w:r>
    </w:p>
    <w:p w:rsidR="00306641" w:rsidRDefault="00F90BB6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20ABF" w:rsidRDefault="00B20ABF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523B4" w:rsidRDefault="005523B4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5523B4" w:rsidRDefault="005523B4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4E2FD9" w:rsidRDefault="004E2FD9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br w:type="page"/>
      </w:r>
    </w:p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4E2FD9" w:rsidTr="00FF38B7">
        <w:tc>
          <w:tcPr>
            <w:tcW w:w="5777" w:type="dxa"/>
          </w:tcPr>
          <w:p w:rsidR="004E2FD9" w:rsidRDefault="004E2FD9" w:rsidP="004E2FD9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lang w:eastAsia="ru-RU"/>
              </w:rPr>
            </w:pP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Приложение</w:t>
            </w:r>
          </w:p>
          <w:p w:rsidR="004E2FD9" w:rsidRDefault="004E2FD9" w:rsidP="004E2FD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Программ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е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профилактики рисков причинения вреда (ущерба)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охраняемым законом ценностям при осуществлении муниципальног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о Жилищного контроля на территории </w:t>
            </w:r>
            <w:r w:rsidR="00C33BA8" w:rsidRPr="00C33BA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Сещинского сельского поселения</w:t>
            </w:r>
            <w:r w:rsidR="00C33BA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30664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Дубровского 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30664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муниципального района Брянской области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4E2FD9" w:rsidRDefault="004E2FD9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</w:t>
      </w:r>
      <w:r w:rsidR="009039C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04744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801"/>
        <w:gridCol w:w="1324"/>
      </w:tblGrid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C33BA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Сещинского сельского поселения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C33BA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Сещинского сельского поселения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F90BB6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</w:t>
            </w:r>
            <w:r w:rsidR="00F90B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6) доклады о муниципальном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</w:t>
            </w:r>
            <w:r w:rsidR="00C33BA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Сещинского сельского поселения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C33BA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Сещинского сельского поселения </w:t>
            </w:r>
            <w:bookmarkStart w:id="1" w:name="_GoBack"/>
            <w:bookmarkEnd w:id="1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Дубровского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 w:rsidR="00606D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информируется об обязательных требованиях, предъявляемых к его деятельности либо к используемым им объектам контроля.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04744C" w:rsidRPr="00114C47" w:rsidRDefault="0004744C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 w:rsidSect="004E2FD9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C47"/>
    <w:rsid w:val="0004744C"/>
    <w:rsid w:val="000478AC"/>
    <w:rsid w:val="00056D50"/>
    <w:rsid w:val="00066303"/>
    <w:rsid w:val="00076D04"/>
    <w:rsid w:val="000B1438"/>
    <w:rsid w:val="000D582D"/>
    <w:rsid w:val="00114C47"/>
    <w:rsid w:val="0015665C"/>
    <w:rsid w:val="00165252"/>
    <w:rsid w:val="00180E4F"/>
    <w:rsid w:val="001A2E4A"/>
    <w:rsid w:val="001D7E30"/>
    <w:rsid w:val="002024B6"/>
    <w:rsid w:val="002326A7"/>
    <w:rsid w:val="00261652"/>
    <w:rsid w:val="0027461E"/>
    <w:rsid w:val="0028279C"/>
    <w:rsid w:val="002F45AE"/>
    <w:rsid w:val="00306641"/>
    <w:rsid w:val="00327F33"/>
    <w:rsid w:val="003B2FC8"/>
    <w:rsid w:val="003C0512"/>
    <w:rsid w:val="003C4CE2"/>
    <w:rsid w:val="00405B99"/>
    <w:rsid w:val="004114AE"/>
    <w:rsid w:val="0047508A"/>
    <w:rsid w:val="0048540C"/>
    <w:rsid w:val="00495062"/>
    <w:rsid w:val="004B52EB"/>
    <w:rsid w:val="004E2FD9"/>
    <w:rsid w:val="00514A9D"/>
    <w:rsid w:val="005523B4"/>
    <w:rsid w:val="00591F30"/>
    <w:rsid w:val="005B70A5"/>
    <w:rsid w:val="005E742A"/>
    <w:rsid w:val="005F3CBB"/>
    <w:rsid w:val="00606432"/>
    <w:rsid w:val="00606D48"/>
    <w:rsid w:val="0061368D"/>
    <w:rsid w:val="00616E6F"/>
    <w:rsid w:val="00675544"/>
    <w:rsid w:val="006F1316"/>
    <w:rsid w:val="008A24B8"/>
    <w:rsid w:val="008D4C83"/>
    <w:rsid w:val="009039CD"/>
    <w:rsid w:val="00931342"/>
    <w:rsid w:val="00997F00"/>
    <w:rsid w:val="009F221A"/>
    <w:rsid w:val="00A121D5"/>
    <w:rsid w:val="00A132B9"/>
    <w:rsid w:val="00A36CBD"/>
    <w:rsid w:val="00A67A1C"/>
    <w:rsid w:val="00B20ABF"/>
    <w:rsid w:val="00B56303"/>
    <w:rsid w:val="00BF7ABC"/>
    <w:rsid w:val="00C0494A"/>
    <w:rsid w:val="00C33BA8"/>
    <w:rsid w:val="00C407E7"/>
    <w:rsid w:val="00CB6436"/>
    <w:rsid w:val="00D22A8C"/>
    <w:rsid w:val="00D50A0C"/>
    <w:rsid w:val="00DC7D41"/>
    <w:rsid w:val="00DD0AB8"/>
    <w:rsid w:val="00DE1EFB"/>
    <w:rsid w:val="00E4250B"/>
    <w:rsid w:val="00E86374"/>
    <w:rsid w:val="00EB512B"/>
    <w:rsid w:val="00F455F2"/>
    <w:rsid w:val="00F64C32"/>
    <w:rsid w:val="00F850A9"/>
    <w:rsid w:val="00F90BB6"/>
    <w:rsid w:val="00FE35A8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ADCE"/>
  <w15:docId w15:val="{2FFB5238-BFDE-4AA6-A90A-47486583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paragraph" w:customStyle="1" w:styleId="ConsPlusNormal">
    <w:name w:val="ConsPlusNormal"/>
    <w:uiPriority w:val="99"/>
    <w:rsid w:val="003C051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6">
    <w:name w:val="Table Grid"/>
    <w:basedOn w:val="a1"/>
    <w:uiPriority w:val="39"/>
    <w:rsid w:val="004E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2022-09-23T08:22:00Z</cp:lastPrinted>
  <dcterms:created xsi:type="dcterms:W3CDTF">2021-11-10T12:04:00Z</dcterms:created>
  <dcterms:modified xsi:type="dcterms:W3CDTF">2022-09-30T06:02:00Z</dcterms:modified>
</cp:coreProperties>
</file>